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C87551B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6D0DEF">
              <w:rPr>
                <w:rFonts w:ascii="Tahoma" w:eastAsia="Tahoma" w:hAnsi="Tahoma" w:cs="Tahoma"/>
                <w:lang w:val="en-NZ"/>
              </w:rPr>
              <w:t>Elementary Education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4B6C3245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III</w:t>
            </w:r>
          </w:p>
        </w:tc>
        <w:tc>
          <w:tcPr>
            <w:tcW w:w="4587" w:type="dxa"/>
          </w:tcPr>
          <w:p w14:paraId="7F12BE1E" w14:textId="4181D94C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5649AC">
              <w:rPr>
                <w:rFonts w:ascii="Tahoma" w:eastAsia="Tahoma" w:hAnsi="Tahoma" w:cs="Tahoma"/>
                <w:lang w:val="en-NZ"/>
              </w:rPr>
              <w:t>3</w:t>
            </w:r>
          </w:p>
          <w:p w14:paraId="0D147991" w14:textId="3182D8C1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711BDC">
              <w:rPr>
                <w:rFonts w:ascii="Tahoma" w:eastAsia="Tahoma" w:hAnsi="Tahoma" w:cs="Tahoma"/>
                <w:b/>
                <w:lang w:val="en-NZ"/>
              </w:rPr>
              <w:t>31,320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655A70A9" w14:textId="317E1BE7" w:rsidR="00711BDC" w:rsidRDefault="005649AC" w:rsidP="006C5C7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TCH3-</w:t>
            </w:r>
            <w:r w:rsidR="006D0DE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57</w:t>
            </w:r>
            <w:r w:rsidR="00711BDC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6C5C76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632-2019</w:t>
            </w:r>
          </w:p>
          <w:p w14:paraId="5993B8D5" w14:textId="10B4F762" w:rsidR="00BF1B63" w:rsidRPr="00CD2A4D" w:rsidRDefault="00BF1B63" w:rsidP="006C5C76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2FED96C4" w:rsidR="00CD2A4D" w:rsidRPr="00CD2A4D" w:rsidRDefault="00D8670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D86705"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Bachelor's Elementary Education (</w:t>
            </w:r>
            <w:proofErr w:type="spellStart"/>
            <w:r w:rsidRPr="00D86705">
              <w:rPr>
                <w:rFonts w:ascii="Tahoma" w:eastAsia="Tahoma" w:hAnsi="Tahoma" w:cs="Tahoma"/>
                <w:sz w:val="20"/>
                <w:szCs w:val="20"/>
                <w:lang w:val="en-NZ"/>
              </w:rPr>
              <w:t>BEEd</w:t>
            </w:r>
            <w:proofErr w:type="spellEnd"/>
            <w:r w:rsidRPr="00D86705">
              <w:rPr>
                <w:rFonts w:ascii="Tahoma" w:eastAsia="Tahoma" w:hAnsi="Tahoma" w:cs="Tahoma"/>
                <w:sz w:val="20"/>
                <w:szCs w:val="20"/>
                <w:lang w:val="en-NZ"/>
              </w:rPr>
              <w:t>); or Bachelor's degree plus 18 professional units in Education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3225C2F" w:rsidR="00CD2A4D" w:rsidRPr="00CD2A4D" w:rsidRDefault="00D16642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Two (2) years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37CD798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6C5C76">
        <w:rPr>
          <w:rFonts w:ascii="Tahoma" w:eastAsia="Tahoma" w:hAnsi="Tahoma" w:cs="Tahoma"/>
          <w:b/>
          <w:lang w:val="en-NZ"/>
        </w:rPr>
        <w:t>February 06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6C5C76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D86705">
        <w:rPr>
          <w:rFonts w:ascii="Tahoma" w:eastAsia="Tahoma" w:hAnsi="Tahoma" w:cs="Tahoma"/>
          <w:b/>
          <w:lang w:val="en-NZ"/>
        </w:rPr>
        <w:t>Monda</w:t>
      </w:r>
      <w:r w:rsidR="008C4525">
        <w:rPr>
          <w:rFonts w:ascii="Tahoma" w:eastAsia="Tahoma" w:hAnsi="Tahoma" w:cs="Tahoma"/>
          <w:b/>
          <w:lang w:val="en-NZ"/>
        </w:rPr>
        <w:t>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267831"/>
    <w:rsid w:val="00347A41"/>
    <w:rsid w:val="003A33B8"/>
    <w:rsid w:val="005649AC"/>
    <w:rsid w:val="0062139B"/>
    <w:rsid w:val="006452D2"/>
    <w:rsid w:val="00686CA7"/>
    <w:rsid w:val="006C5C76"/>
    <w:rsid w:val="006D0DEF"/>
    <w:rsid w:val="00706AA9"/>
    <w:rsid w:val="007106EB"/>
    <w:rsid w:val="00711BDC"/>
    <w:rsid w:val="007B2159"/>
    <w:rsid w:val="008C4525"/>
    <w:rsid w:val="00931733"/>
    <w:rsid w:val="00A422E4"/>
    <w:rsid w:val="00A80D87"/>
    <w:rsid w:val="00A9547A"/>
    <w:rsid w:val="00BF1B63"/>
    <w:rsid w:val="00CD2A4D"/>
    <w:rsid w:val="00D16642"/>
    <w:rsid w:val="00D81AC5"/>
    <w:rsid w:val="00D86705"/>
    <w:rsid w:val="00DF4EAF"/>
    <w:rsid w:val="00EC52B3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2023-01-27T07:27:00Z</dcterms:created>
  <dcterms:modified xsi:type="dcterms:W3CDTF">2023-01-27T07:27:00Z</dcterms:modified>
</cp:coreProperties>
</file>